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0280" w14:textId="77777777" w:rsidR="00464BB5" w:rsidRPr="008A1060" w:rsidRDefault="00464BB5" w:rsidP="00464BB5">
      <w:pPr>
        <w:rPr>
          <w:b/>
          <w:bCs/>
          <w:sz w:val="28"/>
          <w:szCs w:val="28"/>
        </w:rPr>
      </w:pPr>
      <w:r w:rsidRPr="008A1060">
        <w:rPr>
          <w:b/>
          <w:bCs/>
          <w:sz w:val="28"/>
          <w:szCs w:val="28"/>
        </w:rPr>
        <w:t>NACHA Rule Changes for 2026</w:t>
      </w:r>
    </w:p>
    <w:p w14:paraId="292DD586" w14:textId="77777777" w:rsidR="00464BB5" w:rsidRPr="00E93BF9" w:rsidRDefault="00464BB5" w:rsidP="00464BB5">
      <w:r w:rsidRPr="00E93BF9">
        <w:t>Every year, NACHA (National Automated Clearing House Association) publishes new rules that expand upon ACH services and/or requirements related to ACH entries.</w:t>
      </w:r>
    </w:p>
    <w:p w14:paraId="5E65342B" w14:textId="77777777" w:rsidR="00464BB5" w:rsidRPr="008A1060" w:rsidRDefault="00464BB5" w:rsidP="00464BB5">
      <w:pPr>
        <w:rPr>
          <w:sz w:val="24"/>
          <w:szCs w:val="24"/>
        </w:rPr>
      </w:pPr>
      <w:r w:rsidRPr="008A1060">
        <w:rPr>
          <w:b/>
          <w:bCs/>
          <w:sz w:val="24"/>
          <w:szCs w:val="24"/>
        </w:rPr>
        <w:t>Important NACHA Rule Changes for 2026 – Action Required</w:t>
      </w:r>
    </w:p>
    <w:p w14:paraId="6B8F4231" w14:textId="77777777" w:rsidR="00464BB5" w:rsidRPr="008A1060" w:rsidRDefault="00464BB5" w:rsidP="00464BB5">
      <w:pPr>
        <w:rPr>
          <w:b/>
          <w:bCs/>
          <w:sz w:val="24"/>
          <w:szCs w:val="24"/>
        </w:rPr>
      </w:pPr>
      <w:r w:rsidRPr="00E93BF9">
        <w:t>NACHA has announced updates to the ACH Operating Rules effective in 2026. These changes impact fraud monitoring, transaction descriptions, and Originator responsibilities. Please review and prepare accordingly to ensure compliance.</w:t>
      </w:r>
      <w:r w:rsidRPr="00E93BF9">
        <w:br/>
      </w:r>
      <w:r w:rsidRPr="00E93BF9">
        <w:br/>
      </w:r>
      <w:r w:rsidRPr="008A1060">
        <w:rPr>
          <w:b/>
          <w:bCs/>
          <w:sz w:val="24"/>
          <w:szCs w:val="24"/>
        </w:rPr>
        <w:t>Fraud Monitoring by Originators, TPSPs and ODFIs</w:t>
      </w:r>
    </w:p>
    <w:p w14:paraId="71EB3334" w14:textId="77777777" w:rsidR="00464BB5" w:rsidRPr="00E93BF9" w:rsidRDefault="00464BB5" w:rsidP="00464BB5">
      <w:r w:rsidRPr="00E93BF9">
        <w:t>NACHA Rules currently require Originators to use a “</w:t>
      </w:r>
      <w:r w:rsidRPr="00E93BF9">
        <w:rPr>
          <w:i/>
          <w:iCs/>
        </w:rPr>
        <w:t>commercially reasonable”</w:t>
      </w:r>
      <w:r w:rsidRPr="00E93BF9">
        <w:t> fraudulent transaction detection system to screen only when initiating WEB debits or when using Micro-Entries.</w:t>
      </w:r>
    </w:p>
    <w:p w14:paraId="67185730" w14:textId="77777777" w:rsidR="00464BB5" w:rsidRPr="00E93BF9" w:rsidRDefault="00464BB5" w:rsidP="00464BB5">
      <w:r w:rsidRPr="00E93BF9">
        <w:t>The upcoming rule amendment will expand this rule to require each non-Consumer Originator, Third-Party Service Provider, and Third-Party Sender to establish, implement and annually review risk-based processes and procedures intended to identify ACH Entries initiated due to fraud </w:t>
      </w:r>
      <w:r w:rsidRPr="00E93BF9">
        <w:rPr>
          <w:b/>
          <w:bCs/>
        </w:rPr>
        <w:t>across all transaction types and SEC codes</w:t>
      </w:r>
      <w:r w:rsidRPr="00E93BF9">
        <w:t>. The rule will be implemented in two phases:</w:t>
      </w:r>
    </w:p>
    <w:p w14:paraId="2BD5ABAC" w14:textId="77777777" w:rsidR="00464BB5" w:rsidRPr="00E93BF9" w:rsidRDefault="00464BB5" w:rsidP="00464BB5">
      <w:pPr>
        <w:numPr>
          <w:ilvl w:val="0"/>
          <w:numId w:val="1"/>
        </w:numPr>
        <w:spacing w:line="278" w:lineRule="auto"/>
      </w:pPr>
      <w:r w:rsidRPr="00E93BF9">
        <w:rPr>
          <w:b/>
          <w:bCs/>
        </w:rPr>
        <w:t>Phase 1 - Effective March 20, 2026 - </w:t>
      </w:r>
      <w:r w:rsidRPr="00E93BF9">
        <w:t>Applies to all ODFIs, and each non-Consumer Originator, Third-Party Service Provider, and Third-Party Sender with annual ACH origination volume of </w:t>
      </w:r>
      <w:r w:rsidRPr="00E93BF9">
        <w:rPr>
          <w:b/>
          <w:bCs/>
        </w:rPr>
        <w:t>6 million entries or greater in 2023.</w:t>
      </w:r>
    </w:p>
    <w:p w14:paraId="3F27BA27" w14:textId="77777777" w:rsidR="00464BB5" w:rsidRPr="00E93BF9" w:rsidRDefault="00464BB5" w:rsidP="00464BB5">
      <w:pPr>
        <w:numPr>
          <w:ilvl w:val="0"/>
          <w:numId w:val="1"/>
        </w:numPr>
        <w:spacing w:line="278" w:lineRule="auto"/>
      </w:pPr>
      <w:r w:rsidRPr="00E93BF9">
        <w:rPr>
          <w:b/>
          <w:bCs/>
        </w:rPr>
        <w:t>Phase 2 - Effective June 22, 2026 - </w:t>
      </w:r>
      <w:r w:rsidRPr="00E93BF9">
        <w:t>Applies to </w:t>
      </w:r>
      <w:r w:rsidRPr="00E93BF9">
        <w:rPr>
          <w:b/>
          <w:bCs/>
        </w:rPr>
        <w:t>ALL </w:t>
      </w:r>
      <w:r w:rsidRPr="00E93BF9">
        <w:t>ACH Originators, regardless of volume.</w:t>
      </w:r>
      <w:r w:rsidRPr="00E93BF9">
        <w:rPr>
          <w:b/>
          <w:bCs/>
        </w:rPr>
        <w:t> </w:t>
      </w:r>
    </w:p>
    <w:p w14:paraId="721D4DBF" w14:textId="77777777" w:rsidR="00464BB5" w:rsidRPr="00E93BF9" w:rsidRDefault="00464BB5" w:rsidP="00464BB5">
      <w:pPr>
        <w:rPr>
          <w:b/>
          <w:bCs/>
        </w:rPr>
      </w:pPr>
      <w:r w:rsidRPr="00E93BF9">
        <w:rPr>
          <w:b/>
          <w:bCs/>
        </w:rPr>
        <w:t>Standardized Company Entry Descriptions</w:t>
      </w:r>
    </w:p>
    <w:p w14:paraId="693C8195" w14:textId="77777777" w:rsidR="00464BB5" w:rsidRPr="00E93BF9" w:rsidRDefault="00464BB5" w:rsidP="00464BB5">
      <w:r w:rsidRPr="00E93BF9">
        <w:t>Standardized uses of the Company Entry Description can help parties in the ACH Network identify, monitor, and count the volume of payments for specific purposes, and can help manage risk. This Rule amendment introduces two new defined Company Entry Descriptions: PAYROLL and PURCHASE.</w:t>
      </w:r>
    </w:p>
    <w:p w14:paraId="3FA44255" w14:textId="77777777" w:rsidR="00464BB5" w:rsidRDefault="00464BB5" w:rsidP="00464BB5">
      <w:pPr>
        <w:rPr>
          <w:b/>
          <w:bCs/>
          <w:sz w:val="24"/>
          <w:szCs w:val="24"/>
        </w:rPr>
      </w:pPr>
    </w:p>
    <w:p w14:paraId="5144323B" w14:textId="7B928925" w:rsidR="00464BB5" w:rsidRPr="008A1060" w:rsidRDefault="00464BB5" w:rsidP="00464BB5">
      <w:pPr>
        <w:rPr>
          <w:sz w:val="24"/>
          <w:szCs w:val="24"/>
        </w:rPr>
      </w:pPr>
      <w:r w:rsidRPr="008A1060">
        <w:rPr>
          <w:b/>
          <w:bCs/>
          <w:sz w:val="24"/>
          <w:szCs w:val="24"/>
        </w:rPr>
        <w:t>Effective March 20, 2026</w:t>
      </w:r>
    </w:p>
    <w:p w14:paraId="4047DA00" w14:textId="77777777" w:rsidR="00464BB5" w:rsidRPr="00E93BF9" w:rsidRDefault="00464BB5" w:rsidP="00464BB5">
      <w:pPr>
        <w:numPr>
          <w:ilvl w:val="0"/>
          <w:numId w:val="2"/>
        </w:numPr>
        <w:spacing w:line="278" w:lineRule="auto"/>
      </w:pPr>
      <w:r w:rsidRPr="00E93BF9">
        <w:t>Originators must use </w:t>
      </w:r>
      <w:r w:rsidRPr="00E93BF9">
        <w:rPr>
          <w:b/>
          <w:bCs/>
        </w:rPr>
        <w:t>PAYROLL in the Company Entry Description field </w:t>
      </w:r>
      <w:r w:rsidRPr="00E93BF9">
        <w:t>for wage, salary, and similar types of compensation-related PPD credits. </w:t>
      </w:r>
    </w:p>
    <w:p w14:paraId="1F83004D" w14:textId="77777777" w:rsidR="00464BB5" w:rsidRPr="00E93BF9" w:rsidRDefault="00464BB5" w:rsidP="00464BB5">
      <w:pPr>
        <w:numPr>
          <w:ilvl w:val="0"/>
          <w:numId w:val="2"/>
        </w:numPr>
        <w:spacing w:line="278" w:lineRule="auto"/>
      </w:pPr>
      <w:r w:rsidRPr="00E93BF9">
        <w:t>Originators must use </w:t>
      </w:r>
      <w:r w:rsidRPr="00E93BF9">
        <w:rPr>
          <w:b/>
          <w:bCs/>
        </w:rPr>
        <w:t>PURCHASE in the Company Entry Description field </w:t>
      </w:r>
      <w:r w:rsidRPr="00E93BF9">
        <w:t>for e-commerce WEB debits. </w:t>
      </w:r>
    </w:p>
    <w:p w14:paraId="7FAF5CB1" w14:textId="77777777" w:rsidR="00464BB5" w:rsidRPr="00E93BF9" w:rsidRDefault="00464BB5" w:rsidP="00464BB5">
      <w:pPr>
        <w:numPr>
          <w:ilvl w:val="1"/>
          <w:numId w:val="2"/>
        </w:numPr>
        <w:spacing w:line="278" w:lineRule="auto"/>
      </w:pPr>
      <w:r w:rsidRPr="00E93BF9">
        <w:t>An e-commerce purchase is defined as a debit Entry authorized by a Consumer for the online purchase of goods, including recurring purchases first authorized online. </w:t>
      </w:r>
    </w:p>
    <w:p w14:paraId="0583E086" w14:textId="77777777" w:rsidR="00464BB5" w:rsidRPr="00E93BF9" w:rsidRDefault="00464BB5" w:rsidP="00464BB5">
      <w:pPr>
        <w:numPr>
          <w:ilvl w:val="1"/>
          <w:numId w:val="2"/>
        </w:numPr>
        <w:spacing w:line="278" w:lineRule="auto"/>
      </w:pPr>
      <w:r w:rsidRPr="00E93BF9">
        <w:t>An e-commerce purchase must use the WEB debit SEC Code, except as permitted by the rule on Standing Authorizations to use the PPD or TEL debit SEC Codes.</w:t>
      </w:r>
    </w:p>
    <w:p w14:paraId="0A221711" w14:textId="77777777" w:rsidR="00464BB5" w:rsidRDefault="00464BB5"/>
    <w:p w14:paraId="6D024CE3" w14:textId="7073160E" w:rsidR="00A23183" w:rsidRDefault="00464BB5">
      <w:r w:rsidRPr="00464BB5">
        <w:t>Contact us for expert guidance on navigating these Nacha requirements before the 2026 deadlines.</w:t>
      </w:r>
    </w:p>
    <w:p w14:paraId="07E59215" w14:textId="1B919451" w:rsidR="00464BB5" w:rsidRDefault="00464BB5">
      <w:r w:rsidRPr="00464BB5">
        <w:t xml:space="preserve">This article, and the services described herein, are not intended to, and do not, satisfy any rule, regulatory or other requirements for fraud monitoring or for the establishment or maintenance of any Sanctions, Anti-Money Laundering, or Know-Your-Customer program. </w:t>
      </w:r>
      <w:r>
        <w:t>Customers</w:t>
      </w:r>
      <w:r w:rsidRPr="00464BB5">
        <w:t xml:space="preserve"> using </w:t>
      </w:r>
      <w:r>
        <w:t xml:space="preserve">First Bank Texas treasury </w:t>
      </w:r>
      <w:r w:rsidRPr="00464BB5">
        <w:t>products remain subject to and solely responsible for compliance with their obligations under applicable payment network rules, regulations, and sanctions requirements.</w:t>
      </w:r>
    </w:p>
    <w:sectPr w:rsidR="00464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474"/>
    <w:multiLevelType w:val="multilevel"/>
    <w:tmpl w:val="168EB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35293"/>
    <w:multiLevelType w:val="multilevel"/>
    <w:tmpl w:val="1EA8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10101">
    <w:abstractNumId w:val="1"/>
  </w:num>
  <w:num w:numId="2" w16cid:durableId="45240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B5"/>
    <w:rsid w:val="00316DD1"/>
    <w:rsid w:val="00442816"/>
    <w:rsid w:val="00464BB5"/>
    <w:rsid w:val="00985FAF"/>
    <w:rsid w:val="00A23183"/>
    <w:rsid w:val="00B14299"/>
    <w:rsid w:val="00B6030D"/>
    <w:rsid w:val="00C324BA"/>
    <w:rsid w:val="00D87211"/>
    <w:rsid w:val="00E92D04"/>
    <w:rsid w:val="00EC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A9A4"/>
  <w15:chartTrackingRefBased/>
  <w15:docId w15:val="{E8D31F08-7105-453E-9355-11627FF4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BB5"/>
    <w:pPr>
      <w:spacing w:line="259" w:lineRule="auto"/>
    </w:pPr>
    <w:rPr>
      <w:sz w:val="22"/>
      <w:szCs w:val="22"/>
    </w:rPr>
  </w:style>
  <w:style w:type="paragraph" w:styleId="Heading1">
    <w:name w:val="heading 1"/>
    <w:basedOn w:val="Normal"/>
    <w:next w:val="Normal"/>
    <w:link w:val="Heading1Char"/>
    <w:uiPriority w:val="9"/>
    <w:qFormat/>
    <w:rsid w:val="00464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BB5"/>
    <w:rPr>
      <w:rFonts w:eastAsiaTheme="majorEastAsia" w:cstheme="majorBidi"/>
      <w:color w:val="272727" w:themeColor="text1" w:themeTint="D8"/>
    </w:rPr>
  </w:style>
  <w:style w:type="paragraph" w:styleId="Title">
    <w:name w:val="Title"/>
    <w:basedOn w:val="Normal"/>
    <w:next w:val="Normal"/>
    <w:link w:val="TitleChar"/>
    <w:uiPriority w:val="10"/>
    <w:qFormat/>
    <w:rsid w:val="00464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BB5"/>
    <w:pPr>
      <w:spacing w:before="160"/>
      <w:jc w:val="center"/>
    </w:pPr>
    <w:rPr>
      <w:i/>
      <w:iCs/>
      <w:color w:val="404040" w:themeColor="text1" w:themeTint="BF"/>
    </w:rPr>
  </w:style>
  <w:style w:type="character" w:customStyle="1" w:styleId="QuoteChar">
    <w:name w:val="Quote Char"/>
    <w:basedOn w:val="DefaultParagraphFont"/>
    <w:link w:val="Quote"/>
    <w:uiPriority w:val="29"/>
    <w:rsid w:val="00464BB5"/>
    <w:rPr>
      <w:i/>
      <w:iCs/>
      <w:color w:val="404040" w:themeColor="text1" w:themeTint="BF"/>
    </w:rPr>
  </w:style>
  <w:style w:type="paragraph" w:styleId="ListParagraph">
    <w:name w:val="List Paragraph"/>
    <w:basedOn w:val="Normal"/>
    <w:uiPriority w:val="34"/>
    <w:qFormat/>
    <w:rsid w:val="00464BB5"/>
    <w:pPr>
      <w:ind w:left="720"/>
      <w:contextualSpacing/>
    </w:pPr>
  </w:style>
  <w:style w:type="character" w:styleId="IntenseEmphasis">
    <w:name w:val="Intense Emphasis"/>
    <w:basedOn w:val="DefaultParagraphFont"/>
    <w:uiPriority w:val="21"/>
    <w:qFormat/>
    <w:rsid w:val="00464BB5"/>
    <w:rPr>
      <w:i/>
      <w:iCs/>
      <w:color w:val="0F4761" w:themeColor="accent1" w:themeShade="BF"/>
    </w:rPr>
  </w:style>
  <w:style w:type="paragraph" w:styleId="IntenseQuote">
    <w:name w:val="Intense Quote"/>
    <w:basedOn w:val="Normal"/>
    <w:next w:val="Normal"/>
    <w:link w:val="IntenseQuoteChar"/>
    <w:uiPriority w:val="30"/>
    <w:qFormat/>
    <w:rsid w:val="00464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BB5"/>
    <w:rPr>
      <w:i/>
      <w:iCs/>
      <w:color w:val="0F4761" w:themeColor="accent1" w:themeShade="BF"/>
    </w:rPr>
  </w:style>
  <w:style w:type="character" w:styleId="IntenseReference">
    <w:name w:val="Intense Reference"/>
    <w:basedOn w:val="DefaultParagraphFont"/>
    <w:uiPriority w:val="32"/>
    <w:qFormat/>
    <w:rsid w:val="00464B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456</Words>
  <Characters>2424</Characters>
  <Application>Microsoft Office Word</Application>
  <DocSecurity>0</DocSecurity>
  <Lines>101</Lines>
  <Paragraphs>54</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Brown McLaughlin</dc:creator>
  <cp:keywords/>
  <dc:description/>
  <cp:lastModifiedBy>Kelley Brown McLaughlin</cp:lastModifiedBy>
  <cp:revision>2</cp:revision>
  <dcterms:created xsi:type="dcterms:W3CDTF">2026-03-16T18:58:00Z</dcterms:created>
  <dcterms:modified xsi:type="dcterms:W3CDTF">2026-03-16T21:46:00Z</dcterms:modified>
</cp:coreProperties>
</file>